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28" w:rsidRPr="00987E90" w:rsidRDefault="00F55B28" w:rsidP="00F55B28">
      <w:pPr>
        <w:rPr>
          <w:rFonts w:ascii="Roboto" w:hAnsi="Roboto"/>
          <w:b/>
          <w:bCs/>
          <w:color w:val="015B65"/>
          <w:sz w:val="30"/>
          <w:szCs w:val="30"/>
          <w:u w:val="single"/>
          <w:shd w:val="clear" w:color="auto" w:fill="FFFFFF"/>
        </w:rPr>
      </w:pPr>
      <w:r>
        <w:fldChar w:fldCharType="begin"/>
      </w:r>
      <w:r>
        <w:instrText xml:space="preserve"> HYPERLINK "https://www.ito.org.tr/tr/hizmetler/ticaret-sicili-islemleri/tescil-islemleri/limited-sirketler" </w:instrText>
      </w:r>
      <w:r>
        <w:fldChar w:fldCharType="separate"/>
      </w:r>
      <w:r>
        <w:rPr>
          <w:rStyle w:val="Kpr"/>
          <w:rFonts w:ascii="Roboto" w:hAnsi="Roboto"/>
          <w:b/>
          <w:bCs/>
          <w:color w:val="015B65"/>
          <w:sz w:val="30"/>
          <w:szCs w:val="30"/>
          <w:shd w:val="clear" w:color="auto" w:fill="FFFFFF"/>
        </w:rPr>
        <w:t xml:space="preserve">Limited Şirket </w:t>
      </w:r>
      <w:r w:rsidR="00987E90">
        <w:rPr>
          <w:rStyle w:val="Kpr"/>
          <w:rFonts w:ascii="Roboto" w:hAnsi="Roboto"/>
          <w:b/>
          <w:bCs/>
          <w:color w:val="015B65"/>
          <w:sz w:val="30"/>
          <w:szCs w:val="30"/>
          <w:shd w:val="clear" w:color="auto" w:fill="FFFFFF"/>
        </w:rPr>
        <w:t xml:space="preserve">Tek </w:t>
      </w:r>
      <w:r>
        <w:rPr>
          <w:rStyle w:val="Kpr"/>
          <w:rFonts w:ascii="Roboto" w:hAnsi="Roboto"/>
          <w:b/>
          <w:bCs/>
          <w:color w:val="015B65"/>
          <w:sz w:val="30"/>
          <w:szCs w:val="30"/>
          <w:shd w:val="clear" w:color="auto" w:fill="FFFFFF"/>
        </w:rPr>
        <w:t>Pay</w:t>
      </w:r>
      <w:r w:rsidR="00D51832">
        <w:rPr>
          <w:rStyle w:val="Kpr"/>
          <w:rFonts w:ascii="Roboto" w:hAnsi="Roboto"/>
          <w:b/>
          <w:bCs/>
          <w:color w:val="015B65"/>
          <w:sz w:val="30"/>
          <w:szCs w:val="30"/>
          <w:shd w:val="clear" w:color="auto" w:fill="FFFFFF"/>
        </w:rPr>
        <w:t xml:space="preserve"> </w:t>
      </w:r>
      <w:r w:rsidR="00987E90">
        <w:rPr>
          <w:rStyle w:val="Kpr"/>
          <w:rFonts w:ascii="Roboto" w:hAnsi="Roboto"/>
          <w:b/>
          <w:bCs/>
          <w:color w:val="015B65"/>
          <w:sz w:val="30"/>
          <w:szCs w:val="30"/>
          <w:shd w:val="clear" w:color="auto" w:fill="FFFFFF"/>
        </w:rPr>
        <w:t xml:space="preserve">Sahipliği </w:t>
      </w:r>
      <w:bookmarkStart w:id="0" w:name="_GoBack"/>
      <w:bookmarkEnd w:id="0"/>
      <w:r>
        <w:rPr>
          <w:rStyle w:val="Kpr"/>
          <w:rFonts w:ascii="Roboto" w:hAnsi="Roboto"/>
          <w:b/>
          <w:bCs/>
          <w:color w:val="015B65"/>
          <w:sz w:val="30"/>
          <w:szCs w:val="30"/>
          <w:shd w:val="clear" w:color="auto" w:fill="FFFFFF"/>
        </w:rPr>
        <w:t>(Hisse) Devri İşlemi</w:t>
      </w:r>
      <w:r>
        <w:fldChar w:fldCharType="end"/>
      </w:r>
    </w:p>
    <w:p w:rsidR="00F55B28" w:rsidRDefault="00F55B28" w:rsidP="00F55B28">
      <w:pPr>
        <w:pStyle w:val="NormalWeb"/>
        <w:spacing w:before="0" w:beforeAutospacing="0" w:after="0" w:afterAutospacing="0"/>
        <w:jc w:val="both"/>
        <w:rPr>
          <w:rStyle w:val="Gl"/>
          <w:rFonts w:ascii="Arial" w:hAnsi="Arial" w:cs="Arial"/>
          <w:color w:val="FF0000"/>
        </w:rPr>
      </w:pPr>
      <w:proofErr w:type="spellStart"/>
      <w:r>
        <w:rPr>
          <w:rStyle w:val="Gl"/>
          <w:rFonts w:ascii="Arial" w:hAnsi="Arial" w:cs="Arial"/>
          <w:color w:val="FF0000"/>
        </w:rPr>
        <w:t>MERSİS’ten</w:t>
      </w:r>
      <w:proofErr w:type="spellEnd"/>
      <w:r>
        <w:rPr>
          <w:rStyle w:val="Gl"/>
          <w:rFonts w:ascii="Arial" w:hAnsi="Arial" w:cs="Arial"/>
          <w:color w:val="FF0000"/>
        </w:rPr>
        <w:t xml:space="preserve"> başvuru yapılarak talep numarası alınmalı ve gerekli evraklar ile birlikte başvuru yapılmalıdır.</w:t>
      </w:r>
    </w:p>
    <w:p w:rsidR="00F55B28" w:rsidRDefault="00F55B28" w:rsidP="00F55B28">
      <w:pPr>
        <w:pStyle w:val="NormalWeb"/>
        <w:spacing w:before="0" w:beforeAutospacing="0" w:after="0" w:afterAutospacing="0"/>
        <w:jc w:val="both"/>
        <w:rPr>
          <w:color w:val="0D0D0D"/>
        </w:rPr>
      </w:pPr>
    </w:p>
    <w:p w:rsidR="00F55B28" w:rsidRDefault="00F55B28" w:rsidP="00F55B28">
      <w:pPr>
        <w:pStyle w:val="NormalWeb"/>
        <w:spacing w:before="0" w:beforeAutospacing="0" w:after="0" w:afterAutospacing="0"/>
        <w:jc w:val="both"/>
        <w:rPr>
          <w:color w:val="0D0D0D"/>
        </w:rPr>
      </w:pPr>
      <w:r>
        <w:rPr>
          <w:rFonts w:ascii="Arial" w:hAnsi="Arial" w:cs="Arial"/>
          <w:color w:val="0D0D0D"/>
        </w:rPr>
        <w:t>1-) </w:t>
      </w:r>
      <w:hyperlink r:id="rId6" w:tgtFrame="_blank" w:history="1">
        <w:r w:rsidRPr="00F55B28">
          <w:rPr>
            <w:rStyle w:val="Kpr"/>
            <w:rFonts w:ascii="Arial" w:hAnsi="Arial" w:cs="Arial"/>
            <w:color w:val="FF0000"/>
          </w:rPr>
          <w:t>Dilekçe</w:t>
        </w:r>
      </w:hyperlink>
    </w:p>
    <w:p w:rsidR="00F55B28" w:rsidRDefault="00F55B28" w:rsidP="00DA6890">
      <w:pPr>
        <w:numPr>
          <w:ilvl w:val="0"/>
          <w:numId w:val="1"/>
        </w:numPr>
        <w:spacing w:after="0" w:line="240" w:lineRule="auto"/>
        <w:ind w:left="0"/>
        <w:jc w:val="both"/>
        <w:rPr>
          <w:color w:val="0D0D0D"/>
          <w:sz w:val="27"/>
          <w:szCs w:val="27"/>
        </w:rPr>
      </w:pPr>
      <w:r>
        <w:rPr>
          <w:rFonts w:ascii="Arial" w:hAnsi="Arial" w:cs="Arial"/>
          <w:color w:val="0D0D0D"/>
        </w:rPr>
        <w:t>Şirket kaşesi ile yetkili tarafından imzalanmalı, ekindeki evrak dökümünü içermelidir.</w:t>
      </w:r>
    </w:p>
    <w:p w:rsidR="00F55B28" w:rsidRDefault="00F55B28" w:rsidP="00F55B28">
      <w:pPr>
        <w:pStyle w:val="NormalWeb"/>
        <w:spacing w:before="0" w:beforeAutospacing="0" w:after="0" w:afterAutospacing="0"/>
        <w:jc w:val="both"/>
        <w:rPr>
          <w:color w:val="0D0D0D"/>
        </w:rPr>
      </w:pPr>
      <w:r>
        <w:rPr>
          <w:rFonts w:ascii="Arial" w:hAnsi="Arial" w:cs="Arial"/>
          <w:color w:val="0D0D0D"/>
        </w:rPr>
        <w:t>2-) </w:t>
      </w:r>
      <w:hyperlink r:id="rId7" w:tgtFrame="_blank" w:history="1">
        <w:r w:rsidRPr="00F55B28">
          <w:rPr>
            <w:rStyle w:val="Kpr"/>
            <w:rFonts w:ascii="Arial" w:hAnsi="Arial" w:cs="Arial"/>
            <w:color w:val="FF0000"/>
          </w:rPr>
          <w:t>Genel kurul kararı</w:t>
        </w:r>
      </w:hyperlink>
      <w:r w:rsidR="00D51832">
        <w:rPr>
          <w:rFonts w:ascii="Arial" w:hAnsi="Arial" w:cs="Arial"/>
          <w:color w:val="FF0000"/>
        </w:rPr>
        <w:t xml:space="preserve"> </w:t>
      </w:r>
    </w:p>
    <w:p w:rsidR="00F55B28" w:rsidRDefault="00F55B28" w:rsidP="00DA6890">
      <w:pPr>
        <w:numPr>
          <w:ilvl w:val="0"/>
          <w:numId w:val="2"/>
        </w:numPr>
        <w:spacing w:after="0" w:line="240" w:lineRule="auto"/>
        <w:ind w:left="0"/>
        <w:jc w:val="both"/>
        <w:rPr>
          <w:color w:val="0D0D0D"/>
          <w:sz w:val="27"/>
          <w:szCs w:val="27"/>
        </w:rPr>
      </w:pPr>
      <w:r>
        <w:rPr>
          <w:rFonts w:ascii="Arial" w:hAnsi="Arial" w:cs="Arial"/>
          <w:color w:val="0D0D0D"/>
        </w:rPr>
        <w:t>Genel kurul karar ve müzakere defterinden noter onaylı bir suret (Ticaret Sicili Yönetmeliği m. 103/1-a).</w:t>
      </w:r>
    </w:p>
    <w:p w:rsidR="00F55B28" w:rsidRDefault="00F55B28" w:rsidP="00F55B28">
      <w:pPr>
        <w:pStyle w:val="NormalWeb"/>
        <w:spacing w:before="0" w:beforeAutospacing="0" w:after="0" w:afterAutospacing="0"/>
        <w:jc w:val="both"/>
        <w:rPr>
          <w:color w:val="0D0D0D"/>
        </w:rPr>
      </w:pPr>
      <w:r>
        <w:rPr>
          <w:rFonts w:ascii="Arial" w:hAnsi="Arial" w:cs="Arial"/>
          <w:color w:val="0D0D0D"/>
        </w:rPr>
        <w:t xml:space="preserve">3-) Ayrıca düzenlenmiş ise </w:t>
      </w:r>
      <w:proofErr w:type="spellStart"/>
      <w:r w:rsidRPr="00F55B28">
        <w:rPr>
          <w:rFonts w:ascii="Arial" w:hAnsi="Arial" w:cs="Arial"/>
          <w:color w:val="FF0000"/>
        </w:rPr>
        <w:t>hazirun</w:t>
      </w:r>
      <w:proofErr w:type="spellEnd"/>
      <w:r w:rsidRPr="00F55B28">
        <w:rPr>
          <w:rFonts w:ascii="Arial" w:hAnsi="Arial" w:cs="Arial"/>
          <w:color w:val="FF0000"/>
        </w:rPr>
        <w:t xml:space="preserve"> cetveli.</w:t>
      </w:r>
    </w:p>
    <w:p w:rsidR="00F55B28" w:rsidRDefault="00F55B28" w:rsidP="00F55B28">
      <w:pPr>
        <w:pStyle w:val="NormalWeb"/>
        <w:spacing w:before="0" w:beforeAutospacing="0" w:after="0" w:afterAutospacing="0"/>
        <w:jc w:val="both"/>
        <w:rPr>
          <w:rFonts w:ascii="Arial" w:hAnsi="Arial" w:cs="Arial"/>
          <w:color w:val="0D0D0D"/>
        </w:rPr>
      </w:pPr>
      <w:r>
        <w:rPr>
          <w:rFonts w:ascii="Arial" w:hAnsi="Arial" w:cs="Arial"/>
          <w:color w:val="0D0D0D"/>
        </w:rPr>
        <w:t>4-) Noterde düzenlenmiş pay devri sözleşmesi (TTK m. 595 - Ticaret Sicili Yönetmeliği m. 103/1-b).</w:t>
      </w:r>
    </w:p>
    <w:p w:rsidR="00F55B28" w:rsidRDefault="00F55B28" w:rsidP="00F55B28">
      <w:pPr>
        <w:pStyle w:val="NormalWeb"/>
        <w:spacing w:before="0" w:beforeAutospacing="0" w:after="0" w:afterAutospacing="0"/>
        <w:jc w:val="both"/>
        <w:rPr>
          <w:color w:val="0D0D0D"/>
        </w:rPr>
      </w:pPr>
    </w:p>
    <w:p w:rsidR="00F55B28" w:rsidRDefault="00F55B28" w:rsidP="00F55B28">
      <w:pPr>
        <w:pStyle w:val="NormalWeb"/>
        <w:spacing w:before="0" w:beforeAutospacing="0" w:after="0" w:afterAutospacing="0"/>
        <w:jc w:val="both"/>
        <w:rPr>
          <w:color w:val="0D0D0D"/>
        </w:rPr>
      </w:pPr>
      <w:r>
        <w:rPr>
          <w:rStyle w:val="Gl"/>
          <w:rFonts w:ascii="Arial" w:hAnsi="Arial" w:cs="Arial"/>
          <w:color w:val="0D0D0D"/>
          <w:u w:val="single"/>
        </w:rPr>
        <w:t>DİKKAT EDİLMESİ GEREKEN HUSUSLAR:</w:t>
      </w:r>
    </w:p>
    <w:p w:rsidR="00F55B28" w:rsidRDefault="00F55B28" w:rsidP="00DA6890">
      <w:pPr>
        <w:numPr>
          <w:ilvl w:val="0"/>
          <w:numId w:val="3"/>
        </w:numPr>
        <w:spacing w:after="0" w:line="240" w:lineRule="auto"/>
        <w:ind w:left="0"/>
        <w:jc w:val="both"/>
        <w:rPr>
          <w:color w:val="0D0D0D"/>
          <w:sz w:val="27"/>
          <w:szCs w:val="27"/>
        </w:rPr>
      </w:pPr>
      <w:r>
        <w:rPr>
          <w:rFonts w:ascii="Arial" w:hAnsi="Arial" w:cs="Arial"/>
          <w:color w:val="0D0D0D"/>
        </w:rPr>
        <w:t xml:space="preserve">Payını devredip şirketten ayrılan ortak da pay devir kararına katılmalı ve </w:t>
      </w:r>
      <w:proofErr w:type="spellStart"/>
      <w:r>
        <w:rPr>
          <w:rFonts w:ascii="Arial" w:hAnsi="Arial" w:cs="Arial"/>
          <w:color w:val="0D0D0D"/>
        </w:rPr>
        <w:t>hazirun</w:t>
      </w:r>
      <w:proofErr w:type="spellEnd"/>
      <w:r>
        <w:rPr>
          <w:rFonts w:ascii="Arial" w:hAnsi="Arial" w:cs="Arial"/>
          <w:color w:val="0D0D0D"/>
        </w:rPr>
        <w:t xml:space="preserve"> cetvelini imzalamalıdır.</w:t>
      </w:r>
    </w:p>
    <w:p w:rsidR="00F55B28" w:rsidRDefault="00F55B28" w:rsidP="00DA6890">
      <w:pPr>
        <w:numPr>
          <w:ilvl w:val="0"/>
          <w:numId w:val="4"/>
        </w:numPr>
        <w:spacing w:after="0" w:line="240" w:lineRule="auto"/>
        <w:ind w:left="0"/>
        <w:jc w:val="both"/>
        <w:rPr>
          <w:color w:val="0D0D0D"/>
          <w:sz w:val="27"/>
          <w:szCs w:val="27"/>
        </w:rPr>
      </w:pPr>
      <w:r>
        <w:rPr>
          <w:rFonts w:ascii="Arial" w:hAnsi="Arial" w:cs="Arial"/>
          <w:color w:val="0D0D0D"/>
        </w:rPr>
        <w:t xml:space="preserve">Kararda, pay devrinden başka bir husus görüşülmüş ise </w:t>
      </w:r>
      <w:proofErr w:type="spellStart"/>
      <w:r w:rsidR="00D90562">
        <w:rPr>
          <w:rFonts w:ascii="Arial" w:hAnsi="Arial" w:cs="Arial"/>
          <w:color w:val="0D0D0D"/>
        </w:rPr>
        <w:t>hazirun</w:t>
      </w:r>
      <w:proofErr w:type="spellEnd"/>
      <w:r w:rsidR="00D90562">
        <w:rPr>
          <w:rFonts w:ascii="Arial" w:hAnsi="Arial" w:cs="Arial"/>
          <w:color w:val="0D0D0D"/>
        </w:rPr>
        <w:t xml:space="preserve"> cetvelinde yeni gelen orak</w:t>
      </w:r>
      <w:r>
        <w:rPr>
          <w:rFonts w:ascii="Arial" w:hAnsi="Arial" w:cs="Arial"/>
          <w:color w:val="0D0D0D"/>
        </w:rPr>
        <w:t xml:space="preserve"> tarafından da imzalanmalıdır.</w:t>
      </w:r>
    </w:p>
    <w:p w:rsidR="00F55B28" w:rsidRDefault="00F55B28" w:rsidP="00DA6890">
      <w:pPr>
        <w:numPr>
          <w:ilvl w:val="0"/>
          <w:numId w:val="5"/>
        </w:numPr>
        <w:spacing w:after="0" w:line="240" w:lineRule="auto"/>
        <w:ind w:left="0"/>
        <w:jc w:val="both"/>
        <w:rPr>
          <w:color w:val="0D0D0D"/>
          <w:sz w:val="27"/>
          <w:szCs w:val="27"/>
        </w:rPr>
      </w:pPr>
      <w:r>
        <w:rPr>
          <w:rFonts w:ascii="Arial" w:hAnsi="Arial" w:cs="Arial"/>
          <w:color w:val="0D0D0D"/>
        </w:rPr>
        <w:t>Payını devredip şirketten ayrılan ortak müdür ise, görevine devam edip etmeyeceği hususu kararda belirtilmelidir.</w:t>
      </w:r>
    </w:p>
    <w:p w:rsidR="00F55B28" w:rsidRDefault="00F55B28" w:rsidP="00DA6890">
      <w:pPr>
        <w:numPr>
          <w:ilvl w:val="0"/>
          <w:numId w:val="6"/>
        </w:numPr>
        <w:spacing w:after="0" w:line="240" w:lineRule="auto"/>
        <w:ind w:left="0"/>
        <w:jc w:val="both"/>
        <w:rPr>
          <w:color w:val="0D0D0D"/>
          <w:sz w:val="27"/>
          <w:szCs w:val="27"/>
        </w:rPr>
      </w:pPr>
      <w:r>
        <w:rPr>
          <w:rFonts w:ascii="Arial" w:hAnsi="Arial" w:cs="Arial"/>
          <w:color w:val="0D0D0D"/>
        </w:rPr>
        <w:t>TTK m. 623/1 gereğince, şirket ortaklarından en az birinin sınırsız olarak yönetim hakkına ve temsil yetkisine sahip müdür olması gereklidir.</w:t>
      </w:r>
    </w:p>
    <w:p w:rsidR="00F55B28" w:rsidRDefault="00F55B28" w:rsidP="00DA6890">
      <w:pPr>
        <w:numPr>
          <w:ilvl w:val="0"/>
          <w:numId w:val="7"/>
        </w:numPr>
        <w:spacing w:after="0" w:line="240" w:lineRule="auto"/>
        <w:ind w:left="0"/>
        <w:jc w:val="both"/>
        <w:rPr>
          <w:color w:val="0D0D0D"/>
          <w:sz w:val="27"/>
          <w:szCs w:val="27"/>
        </w:rPr>
      </w:pPr>
      <w:r>
        <w:rPr>
          <w:rFonts w:ascii="Arial" w:hAnsi="Arial" w:cs="Arial"/>
          <w:color w:val="0D0D0D"/>
        </w:rPr>
        <w:t>Pay devrinin kabulü kararı, pay devir sözleşmesi tarihinde veya sonrasındaki bir tarihte alınmalıdır.</w:t>
      </w:r>
    </w:p>
    <w:p w:rsidR="00F55B28" w:rsidRDefault="00F55B28" w:rsidP="00DA6890">
      <w:pPr>
        <w:numPr>
          <w:ilvl w:val="0"/>
          <w:numId w:val="8"/>
        </w:numPr>
        <w:spacing w:after="0" w:line="240" w:lineRule="auto"/>
        <w:ind w:left="0"/>
        <w:jc w:val="both"/>
        <w:rPr>
          <w:color w:val="0D0D0D"/>
          <w:sz w:val="27"/>
          <w:szCs w:val="27"/>
        </w:rPr>
      </w:pPr>
      <w:r>
        <w:rPr>
          <w:rFonts w:ascii="Arial" w:hAnsi="Arial" w:cs="Arial"/>
          <w:color w:val="0D0D0D"/>
        </w:rPr>
        <w:t>Şirket sözleşmesinin sermaye başlıklı maddesinde pay adedi bulunması hâlinde, pay devir kararında yer alan vaki devir neticesinde pay adedi, şirket sözleşmesindeki pay adedi değerine göre belirtilmelidir.</w:t>
      </w:r>
    </w:p>
    <w:p w:rsidR="00F55B28" w:rsidRDefault="00F55B28" w:rsidP="00DA6890">
      <w:pPr>
        <w:numPr>
          <w:ilvl w:val="0"/>
          <w:numId w:val="9"/>
        </w:numPr>
        <w:spacing w:after="0" w:line="240" w:lineRule="auto"/>
        <w:ind w:left="0"/>
        <w:jc w:val="both"/>
        <w:rPr>
          <w:color w:val="0D0D0D"/>
          <w:sz w:val="27"/>
          <w:szCs w:val="27"/>
        </w:rPr>
      </w:pPr>
      <w:r>
        <w:rPr>
          <w:rFonts w:ascii="Arial" w:hAnsi="Arial" w:cs="Arial"/>
          <w:color w:val="0D0D0D"/>
        </w:rPr>
        <w:t>Gümrük müşavirliği şirketlerinde, ortak ve yetkililerin gümrük müşavirliği veya müşavir yardımcılığı belgelerinin noter onaylı olması gerekmektedir. Yetkilendirilmiş gümrük müşavirliği şirketlerinde ise ortak ve yetkililerin tamamının yetkilendirilmiş gümrük müşaviri belgesinin noter onaylı olması gerekmektedir.</w:t>
      </w:r>
    </w:p>
    <w:p w:rsidR="00F55B28" w:rsidRDefault="00F55B28" w:rsidP="00DA6890">
      <w:pPr>
        <w:numPr>
          <w:ilvl w:val="0"/>
          <w:numId w:val="10"/>
        </w:numPr>
        <w:spacing w:after="0" w:line="240" w:lineRule="auto"/>
        <w:ind w:left="0"/>
        <w:jc w:val="both"/>
        <w:rPr>
          <w:color w:val="0D0D0D"/>
          <w:sz w:val="27"/>
          <w:szCs w:val="27"/>
        </w:rPr>
      </w:pPr>
      <w:r>
        <w:rPr>
          <w:rFonts w:ascii="Arial" w:hAnsi="Arial" w:cs="Arial"/>
          <w:color w:val="0D0D0D"/>
        </w:rPr>
        <w:t>Yeni ortak girişi var ise kararda; ortağın adı-soyadı yanında yerleşim yeri, uyruğu ve kimlik numarası, yabancı uyruklu ise vergi kimlik numarası veya yabancılara mahsus kimlik numarası belirtilmelidir.</w:t>
      </w:r>
    </w:p>
    <w:p w:rsidR="00F55B28" w:rsidRDefault="00F55B28" w:rsidP="00DA6890">
      <w:pPr>
        <w:numPr>
          <w:ilvl w:val="0"/>
          <w:numId w:val="11"/>
        </w:numPr>
        <w:spacing w:after="0" w:line="240" w:lineRule="auto"/>
        <w:ind w:left="0"/>
        <w:jc w:val="both"/>
        <w:rPr>
          <w:color w:val="0D0D0D"/>
          <w:sz w:val="27"/>
          <w:szCs w:val="27"/>
        </w:rPr>
      </w:pPr>
      <w:r>
        <w:rPr>
          <w:rFonts w:ascii="Arial" w:hAnsi="Arial" w:cs="Arial"/>
          <w:color w:val="0D0D0D"/>
        </w:rPr>
        <w:t>Yeni ortağın yabancı uyruklu olması hâlinde Türkçe tercümesi noter onaylı pasaport sureti eklenmelidir.</w:t>
      </w:r>
    </w:p>
    <w:p w:rsidR="00F55B28" w:rsidRDefault="00F55B28" w:rsidP="00DA6890">
      <w:pPr>
        <w:numPr>
          <w:ilvl w:val="0"/>
          <w:numId w:val="12"/>
        </w:numPr>
        <w:spacing w:after="0" w:line="240" w:lineRule="auto"/>
        <w:ind w:left="0"/>
        <w:jc w:val="both"/>
        <w:rPr>
          <w:color w:val="0D0D0D"/>
          <w:sz w:val="27"/>
          <w:szCs w:val="27"/>
        </w:rPr>
      </w:pPr>
      <w:r>
        <w:rPr>
          <w:rFonts w:ascii="Arial" w:hAnsi="Arial" w:cs="Arial"/>
          <w:color w:val="0D0D0D"/>
        </w:rPr>
        <w:t>Yabancı uyruklu ortağın ikamet adresi Türkiye’de ise noter onaylı ikamet tezkeresi eklenmelidir.</w:t>
      </w:r>
    </w:p>
    <w:p w:rsidR="00F55B28" w:rsidRDefault="00F55B28" w:rsidP="00DA6890">
      <w:pPr>
        <w:numPr>
          <w:ilvl w:val="0"/>
          <w:numId w:val="13"/>
        </w:numPr>
        <w:spacing w:after="0" w:line="240" w:lineRule="auto"/>
        <w:ind w:left="0"/>
        <w:jc w:val="both"/>
        <w:rPr>
          <w:color w:val="0D0D0D"/>
          <w:sz w:val="27"/>
          <w:szCs w:val="27"/>
        </w:rPr>
      </w:pPr>
      <w:proofErr w:type="gramStart"/>
      <w:r>
        <w:rPr>
          <w:rFonts w:ascii="Arial" w:hAnsi="Arial" w:cs="Arial"/>
          <w:color w:val="0D0D0D"/>
        </w:rPr>
        <w:t>Yeni giren ortağın yabancı uyruklu tüzel kişi olması hâlinde tüzel kişinin güncel sicil kayıtlarını içeren belge.</w:t>
      </w:r>
      <w:proofErr w:type="gramEnd"/>
    </w:p>
    <w:p w:rsidR="00F55B28" w:rsidRDefault="00F55B28" w:rsidP="00F55B28">
      <w:pPr>
        <w:pStyle w:val="NormalWeb"/>
        <w:spacing w:before="0" w:beforeAutospacing="0" w:after="0" w:afterAutospacing="0"/>
        <w:ind w:left="600"/>
        <w:jc w:val="both"/>
        <w:rPr>
          <w:color w:val="0D0D0D"/>
        </w:rPr>
      </w:pPr>
      <w:r>
        <w:rPr>
          <w:rFonts w:ascii="Arial" w:hAnsi="Arial" w:cs="Arial"/>
          <w:color w:val="0D0D0D"/>
        </w:rPr>
        <w:t>Bu belgenin, şirketin tabii bulunduğu ülkedeki Türkiye Cumhuriyeti Konsolosluğu veya T.C. Dışişleri Bakanlığı tarafından ya da Yabancı Resmi Belgelerin Tasdiki Mecburiyetinin Kaldırılması Sözleşmesi hükümlerine göre tasdik edilmiş ve noter onaylı Türkçe çevirisinin de yaptırılmış olması gerekir.</w:t>
      </w:r>
    </w:p>
    <w:p w:rsidR="00F55B28" w:rsidRDefault="00F55B28" w:rsidP="00DA6890">
      <w:pPr>
        <w:numPr>
          <w:ilvl w:val="0"/>
          <w:numId w:val="14"/>
        </w:numPr>
        <w:spacing w:after="0" w:line="240" w:lineRule="auto"/>
        <w:ind w:left="0"/>
        <w:jc w:val="both"/>
        <w:rPr>
          <w:color w:val="0D0D0D"/>
          <w:sz w:val="27"/>
          <w:szCs w:val="27"/>
        </w:rPr>
      </w:pPr>
      <w:r>
        <w:rPr>
          <w:rFonts w:ascii="Arial" w:hAnsi="Arial" w:cs="Arial"/>
          <w:color w:val="0D0D0D"/>
        </w:rPr>
        <w:t>Yabancı uyruklu tüzel kişi ortak / tüzel kişi yetkili girişi var ise kararda/tadil sözleşmesinde vergi kimlik numarası belirtilmelidir.</w:t>
      </w:r>
    </w:p>
    <w:p w:rsidR="00F55B28" w:rsidRDefault="00F55B28" w:rsidP="00DA6890">
      <w:pPr>
        <w:numPr>
          <w:ilvl w:val="0"/>
          <w:numId w:val="15"/>
        </w:numPr>
        <w:spacing w:after="0" w:line="240" w:lineRule="auto"/>
        <w:ind w:left="0"/>
        <w:jc w:val="both"/>
        <w:rPr>
          <w:color w:val="0D0D0D"/>
          <w:sz w:val="27"/>
          <w:szCs w:val="27"/>
        </w:rPr>
      </w:pPr>
      <w:r>
        <w:rPr>
          <w:rFonts w:ascii="Arial" w:hAnsi="Arial" w:cs="Arial"/>
          <w:color w:val="0D0D0D"/>
        </w:rPr>
        <w:t>Yeni giren tüzel kişi ortak Türk uyruklu fakat merkezi İ</w:t>
      </w:r>
      <w:r w:rsidR="00D90562">
        <w:rPr>
          <w:rFonts w:ascii="Arial" w:hAnsi="Arial" w:cs="Arial"/>
          <w:color w:val="0D0D0D"/>
        </w:rPr>
        <w:t>znik</w:t>
      </w:r>
      <w:r>
        <w:rPr>
          <w:rFonts w:ascii="Arial" w:hAnsi="Arial" w:cs="Arial"/>
          <w:color w:val="0D0D0D"/>
        </w:rPr>
        <w:t xml:space="preserve"> dışında ise tüzel kişi ortağın kayıtlı bulunduğu Ticaret Sicili Müdürlüğü ve ticaret sicil numarası /  vergi kimlik numarası ile MERSİS numarası kararda/tadil sözleşmesinde belirtilmelidir.</w:t>
      </w:r>
    </w:p>
    <w:p w:rsidR="00F55B28" w:rsidRPr="000C41F3" w:rsidRDefault="00F55B28" w:rsidP="00DA6890">
      <w:pPr>
        <w:numPr>
          <w:ilvl w:val="0"/>
          <w:numId w:val="16"/>
        </w:numPr>
        <w:spacing w:after="0" w:line="240" w:lineRule="auto"/>
        <w:ind w:left="0"/>
        <w:jc w:val="both"/>
        <w:rPr>
          <w:color w:val="0D0D0D"/>
          <w:sz w:val="27"/>
          <w:szCs w:val="27"/>
        </w:rPr>
      </w:pPr>
      <w:r>
        <w:rPr>
          <w:rFonts w:ascii="Arial" w:hAnsi="Arial" w:cs="Arial"/>
          <w:color w:val="0D0D0D"/>
        </w:rPr>
        <w:t xml:space="preserve">Limited şirket pay devir kararlarında, sermayenin kısmen veya tamamen ödendiğinin beyan edilmesi zorunlu değildir; ancak kararda belirtilmesi durumunda sermayenin ödendiğinin ve </w:t>
      </w:r>
      <w:proofErr w:type="spellStart"/>
      <w:r>
        <w:rPr>
          <w:rFonts w:ascii="Arial" w:hAnsi="Arial" w:cs="Arial"/>
          <w:color w:val="0D0D0D"/>
        </w:rPr>
        <w:lastRenderedPageBreak/>
        <w:t>özvarlık</w:t>
      </w:r>
      <w:proofErr w:type="spellEnd"/>
      <w:r>
        <w:rPr>
          <w:rFonts w:ascii="Arial" w:hAnsi="Arial" w:cs="Arial"/>
          <w:color w:val="0D0D0D"/>
        </w:rPr>
        <w:t xml:space="preserve"> içinde sermayenin korunduğunun tespit edildiği SMMM/YMM raporunun ve mali müşavir faaliyet belgesinin ibrazı gerekmektedir.</w:t>
      </w:r>
    </w:p>
    <w:p w:rsidR="000C41F3" w:rsidRDefault="000C41F3" w:rsidP="00D51832">
      <w:pPr>
        <w:spacing w:after="0" w:line="240" w:lineRule="auto"/>
        <w:jc w:val="both"/>
        <w:rPr>
          <w:color w:val="0D0D0D"/>
          <w:sz w:val="27"/>
          <w:szCs w:val="27"/>
        </w:rPr>
      </w:pPr>
    </w:p>
    <w:p w:rsidR="00F55B28" w:rsidRDefault="00F55B28" w:rsidP="00DA6890">
      <w:pPr>
        <w:numPr>
          <w:ilvl w:val="0"/>
          <w:numId w:val="17"/>
        </w:numPr>
        <w:spacing w:after="0" w:line="240" w:lineRule="auto"/>
        <w:ind w:left="0"/>
        <w:jc w:val="both"/>
        <w:rPr>
          <w:color w:val="0D0D0D"/>
          <w:sz w:val="27"/>
          <w:szCs w:val="27"/>
        </w:rPr>
      </w:pPr>
      <w:r>
        <w:rPr>
          <w:rFonts w:ascii="Arial" w:hAnsi="Arial" w:cs="Arial"/>
          <w:color w:val="0D0D0D"/>
        </w:rPr>
        <w:t>Müdür seçimi var ise, </w:t>
      </w:r>
      <w:r>
        <w:rPr>
          <w:rStyle w:val="Gl"/>
          <w:rFonts w:ascii="Arial" w:hAnsi="Arial" w:cs="Arial"/>
          <w:color w:val="0D0D0D"/>
          <w:u w:val="single"/>
        </w:rPr>
        <w:t>"Limited Şirket Müdür Ataması İşlemi”</w:t>
      </w:r>
      <w:r>
        <w:rPr>
          <w:rFonts w:ascii="Arial" w:hAnsi="Arial" w:cs="Arial"/>
          <w:color w:val="0D0D0D"/>
        </w:rPr>
        <w:t> başlığı altında yer alan belgeler eklenmelidir.</w:t>
      </w:r>
    </w:p>
    <w:p w:rsidR="00747767" w:rsidRPr="00D73F11" w:rsidRDefault="00747767" w:rsidP="00D73F11"/>
    <w:sectPr w:rsidR="00747767" w:rsidRPr="00D73F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7023D"/>
    <w:multiLevelType w:val="multilevel"/>
    <w:tmpl w:val="FDAA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9F6205"/>
    <w:multiLevelType w:val="multilevel"/>
    <w:tmpl w:val="2856B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AF6D19"/>
    <w:multiLevelType w:val="multilevel"/>
    <w:tmpl w:val="35EC2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E7386E"/>
    <w:multiLevelType w:val="multilevel"/>
    <w:tmpl w:val="0FD8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3944B2"/>
    <w:multiLevelType w:val="multilevel"/>
    <w:tmpl w:val="3220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514400"/>
    <w:multiLevelType w:val="multilevel"/>
    <w:tmpl w:val="E0F0F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526C88"/>
    <w:multiLevelType w:val="multilevel"/>
    <w:tmpl w:val="EFC4E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AE4C4D"/>
    <w:multiLevelType w:val="multilevel"/>
    <w:tmpl w:val="C9B0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D85D2D"/>
    <w:multiLevelType w:val="multilevel"/>
    <w:tmpl w:val="8D44E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301F45"/>
    <w:multiLevelType w:val="multilevel"/>
    <w:tmpl w:val="9880E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8E288E"/>
    <w:multiLevelType w:val="multilevel"/>
    <w:tmpl w:val="20F6B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2E431B"/>
    <w:multiLevelType w:val="multilevel"/>
    <w:tmpl w:val="28AA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D24AC3"/>
    <w:multiLevelType w:val="multilevel"/>
    <w:tmpl w:val="CF8C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74518F"/>
    <w:multiLevelType w:val="multilevel"/>
    <w:tmpl w:val="35AE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B20616"/>
    <w:multiLevelType w:val="multilevel"/>
    <w:tmpl w:val="5060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DC5C2D"/>
    <w:multiLevelType w:val="multilevel"/>
    <w:tmpl w:val="0BD68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C40929"/>
    <w:multiLevelType w:val="multilevel"/>
    <w:tmpl w:val="25EE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2"/>
  </w:num>
  <w:num w:numId="4">
    <w:abstractNumId w:val="13"/>
  </w:num>
  <w:num w:numId="5">
    <w:abstractNumId w:val="14"/>
  </w:num>
  <w:num w:numId="6">
    <w:abstractNumId w:val="5"/>
  </w:num>
  <w:num w:numId="7">
    <w:abstractNumId w:val="0"/>
  </w:num>
  <w:num w:numId="8">
    <w:abstractNumId w:val="10"/>
  </w:num>
  <w:num w:numId="9">
    <w:abstractNumId w:val="4"/>
  </w:num>
  <w:num w:numId="10">
    <w:abstractNumId w:val="11"/>
  </w:num>
  <w:num w:numId="11">
    <w:abstractNumId w:val="8"/>
  </w:num>
  <w:num w:numId="12">
    <w:abstractNumId w:val="9"/>
  </w:num>
  <w:num w:numId="13">
    <w:abstractNumId w:val="1"/>
  </w:num>
  <w:num w:numId="14">
    <w:abstractNumId w:val="15"/>
  </w:num>
  <w:num w:numId="15">
    <w:abstractNumId w:val="7"/>
  </w:num>
  <w:num w:numId="16">
    <w:abstractNumId w:val="3"/>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55654"/>
    <w:rsid w:val="00065F6D"/>
    <w:rsid w:val="000C41F3"/>
    <w:rsid w:val="001419B0"/>
    <w:rsid w:val="001847F7"/>
    <w:rsid w:val="0022799E"/>
    <w:rsid w:val="00233D4F"/>
    <w:rsid w:val="00252332"/>
    <w:rsid w:val="002B4137"/>
    <w:rsid w:val="004230BA"/>
    <w:rsid w:val="004462E8"/>
    <w:rsid w:val="004B5E42"/>
    <w:rsid w:val="004C42C6"/>
    <w:rsid w:val="00580A2F"/>
    <w:rsid w:val="005C748D"/>
    <w:rsid w:val="00642F3B"/>
    <w:rsid w:val="006B79B0"/>
    <w:rsid w:val="00747767"/>
    <w:rsid w:val="00776E0E"/>
    <w:rsid w:val="007F1D24"/>
    <w:rsid w:val="00856251"/>
    <w:rsid w:val="009832BC"/>
    <w:rsid w:val="00987E90"/>
    <w:rsid w:val="009959FB"/>
    <w:rsid w:val="009A4225"/>
    <w:rsid w:val="009C0DD0"/>
    <w:rsid w:val="009C5C6C"/>
    <w:rsid w:val="00AA561A"/>
    <w:rsid w:val="00AB4F3E"/>
    <w:rsid w:val="00AD5D21"/>
    <w:rsid w:val="00BB033C"/>
    <w:rsid w:val="00BB479B"/>
    <w:rsid w:val="00C1443F"/>
    <w:rsid w:val="00C74522"/>
    <w:rsid w:val="00D1308C"/>
    <w:rsid w:val="00D17B79"/>
    <w:rsid w:val="00D477C4"/>
    <w:rsid w:val="00D51832"/>
    <w:rsid w:val="00D73F11"/>
    <w:rsid w:val="00D90562"/>
    <w:rsid w:val="00DA6890"/>
    <w:rsid w:val="00E507CA"/>
    <w:rsid w:val="00F55B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97">
      <w:bodyDiv w:val="1"/>
      <w:marLeft w:val="0"/>
      <w:marRight w:val="0"/>
      <w:marTop w:val="0"/>
      <w:marBottom w:val="0"/>
      <w:divBdr>
        <w:top w:val="none" w:sz="0" w:space="0" w:color="auto"/>
        <w:left w:val="none" w:sz="0" w:space="0" w:color="auto"/>
        <w:bottom w:val="none" w:sz="0" w:space="0" w:color="auto"/>
        <w:right w:val="none" w:sz="0" w:space="0" w:color="auto"/>
      </w:divBdr>
      <w:divsChild>
        <w:div w:id="1203132025">
          <w:marLeft w:val="0"/>
          <w:marRight w:val="0"/>
          <w:marTop w:val="0"/>
          <w:marBottom w:val="0"/>
          <w:divBdr>
            <w:top w:val="none" w:sz="0" w:space="0" w:color="auto"/>
            <w:left w:val="none" w:sz="0" w:space="0" w:color="auto"/>
            <w:bottom w:val="none" w:sz="0" w:space="0" w:color="auto"/>
            <w:right w:val="none" w:sz="0" w:space="0" w:color="auto"/>
          </w:divBdr>
        </w:div>
      </w:divsChild>
    </w:div>
    <w:div w:id="528108022">
      <w:bodyDiv w:val="1"/>
      <w:marLeft w:val="0"/>
      <w:marRight w:val="0"/>
      <w:marTop w:val="0"/>
      <w:marBottom w:val="0"/>
      <w:divBdr>
        <w:top w:val="none" w:sz="0" w:space="0" w:color="auto"/>
        <w:left w:val="none" w:sz="0" w:space="0" w:color="auto"/>
        <w:bottom w:val="none" w:sz="0" w:space="0" w:color="auto"/>
        <w:right w:val="none" w:sz="0" w:space="0" w:color="auto"/>
      </w:divBdr>
      <w:divsChild>
        <w:div w:id="863665665">
          <w:marLeft w:val="0"/>
          <w:marRight w:val="0"/>
          <w:marTop w:val="0"/>
          <w:marBottom w:val="0"/>
          <w:divBdr>
            <w:top w:val="none" w:sz="0" w:space="0" w:color="auto"/>
            <w:left w:val="none" w:sz="0" w:space="0" w:color="auto"/>
            <w:bottom w:val="none" w:sz="0" w:space="0" w:color="auto"/>
            <w:right w:val="none" w:sz="0" w:space="0" w:color="auto"/>
          </w:divBdr>
        </w:div>
      </w:divsChild>
    </w:div>
    <w:div w:id="563414228">
      <w:bodyDiv w:val="1"/>
      <w:marLeft w:val="0"/>
      <w:marRight w:val="0"/>
      <w:marTop w:val="0"/>
      <w:marBottom w:val="0"/>
      <w:divBdr>
        <w:top w:val="none" w:sz="0" w:space="0" w:color="auto"/>
        <w:left w:val="none" w:sz="0" w:space="0" w:color="auto"/>
        <w:bottom w:val="none" w:sz="0" w:space="0" w:color="auto"/>
        <w:right w:val="none" w:sz="0" w:space="0" w:color="auto"/>
      </w:divBdr>
    </w:div>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692923573">
      <w:bodyDiv w:val="1"/>
      <w:marLeft w:val="0"/>
      <w:marRight w:val="0"/>
      <w:marTop w:val="0"/>
      <w:marBottom w:val="0"/>
      <w:divBdr>
        <w:top w:val="none" w:sz="0" w:space="0" w:color="auto"/>
        <w:left w:val="none" w:sz="0" w:space="0" w:color="auto"/>
        <w:bottom w:val="none" w:sz="0" w:space="0" w:color="auto"/>
        <w:right w:val="none" w:sz="0" w:space="0" w:color="auto"/>
      </w:divBdr>
    </w:div>
    <w:div w:id="850488776">
      <w:bodyDiv w:val="1"/>
      <w:marLeft w:val="0"/>
      <w:marRight w:val="0"/>
      <w:marTop w:val="0"/>
      <w:marBottom w:val="0"/>
      <w:divBdr>
        <w:top w:val="none" w:sz="0" w:space="0" w:color="auto"/>
        <w:left w:val="none" w:sz="0" w:space="0" w:color="auto"/>
        <w:bottom w:val="none" w:sz="0" w:space="0" w:color="auto"/>
        <w:right w:val="none" w:sz="0" w:space="0" w:color="auto"/>
      </w:divBdr>
      <w:divsChild>
        <w:div w:id="477042004">
          <w:marLeft w:val="0"/>
          <w:marRight w:val="0"/>
          <w:marTop w:val="0"/>
          <w:marBottom w:val="0"/>
          <w:divBdr>
            <w:top w:val="none" w:sz="0" w:space="0" w:color="auto"/>
            <w:left w:val="none" w:sz="0" w:space="0" w:color="auto"/>
            <w:bottom w:val="none" w:sz="0" w:space="0" w:color="auto"/>
            <w:right w:val="none" w:sz="0" w:space="0" w:color="auto"/>
          </w:divBdr>
        </w:div>
      </w:divsChild>
    </w:div>
    <w:div w:id="915898283">
      <w:bodyDiv w:val="1"/>
      <w:marLeft w:val="0"/>
      <w:marRight w:val="0"/>
      <w:marTop w:val="0"/>
      <w:marBottom w:val="0"/>
      <w:divBdr>
        <w:top w:val="none" w:sz="0" w:space="0" w:color="auto"/>
        <w:left w:val="none" w:sz="0" w:space="0" w:color="auto"/>
        <w:bottom w:val="none" w:sz="0" w:space="0" w:color="auto"/>
        <w:right w:val="none" w:sz="0" w:space="0" w:color="auto"/>
      </w:divBdr>
      <w:divsChild>
        <w:div w:id="1268730703">
          <w:marLeft w:val="0"/>
          <w:marRight w:val="0"/>
          <w:marTop w:val="0"/>
          <w:marBottom w:val="0"/>
          <w:divBdr>
            <w:top w:val="none" w:sz="0" w:space="0" w:color="auto"/>
            <w:left w:val="none" w:sz="0" w:space="0" w:color="auto"/>
            <w:bottom w:val="none" w:sz="0" w:space="0" w:color="auto"/>
            <w:right w:val="none" w:sz="0" w:space="0" w:color="auto"/>
          </w:divBdr>
        </w:div>
      </w:divsChild>
    </w:div>
    <w:div w:id="1005592663">
      <w:bodyDiv w:val="1"/>
      <w:marLeft w:val="0"/>
      <w:marRight w:val="0"/>
      <w:marTop w:val="0"/>
      <w:marBottom w:val="0"/>
      <w:divBdr>
        <w:top w:val="none" w:sz="0" w:space="0" w:color="auto"/>
        <w:left w:val="none" w:sz="0" w:space="0" w:color="auto"/>
        <w:bottom w:val="none" w:sz="0" w:space="0" w:color="auto"/>
        <w:right w:val="none" w:sz="0" w:space="0" w:color="auto"/>
      </w:divBdr>
      <w:divsChild>
        <w:div w:id="1058819272">
          <w:marLeft w:val="0"/>
          <w:marRight w:val="0"/>
          <w:marTop w:val="0"/>
          <w:marBottom w:val="0"/>
          <w:divBdr>
            <w:top w:val="none" w:sz="0" w:space="0" w:color="auto"/>
            <w:left w:val="none" w:sz="0" w:space="0" w:color="auto"/>
            <w:bottom w:val="none" w:sz="0" w:space="0" w:color="auto"/>
            <w:right w:val="none" w:sz="0" w:space="0" w:color="auto"/>
          </w:divBdr>
        </w:div>
      </w:divsChild>
    </w:div>
    <w:div w:id="1401321691">
      <w:bodyDiv w:val="1"/>
      <w:marLeft w:val="0"/>
      <w:marRight w:val="0"/>
      <w:marTop w:val="0"/>
      <w:marBottom w:val="0"/>
      <w:divBdr>
        <w:top w:val="none" w:sz="0" w:space="0" w:color="auto"/>
        <w:left w:val="none" w:sz="0" w:space="0" w:color="auto"/>
        <w:bottom w:val="none" w:sz="0" w:space="0" w:color="auto"/>
        <w:right w:val="none" w:sz="0" w:space="0" w:color="auto"/>
      </w:divBdr>
      <w:divsChild>
        <w:div w:id="887840817">
          <w:marLeft w:val="0"/>
          <w:marRight w:val="0"/>
          <w:marTop w:val="0"/>
          <w:marBottom w:val="0"/>
          <w:divBdr>
            <w:top w:val="none" w:sz="0" w:space="0" w:color="auto"/>
            <w:left w:val="none" w:sz="0" w:space="0" w:color="auto"/>
            <w:bottom w:val="none" w:sz="0" w:space="0" w:color="auto"/>
            <w:right w:val="none" w:sz="0" w:space="0" w:color="auto"/>
          </w:divBdr>
        </w:div>
      </w:divsChild>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 w:id="1963615118">
      <w:bodyDiv w:val="1"/>
      <w:marLeft w:val="0"/>
      <w:marRight w:val="0"/>
      <w:marTop w:val="0"/>
      <w:marBottom w:val="0"/>
      <w:divBdr>
        <w:top w:val="none" w:sz="0" w:space="0" w:color="auto"/>
        <w:left w:val="none" w:sz="0" w:space="0" w:color="auto"/>
        <w:bottom w:val="none" w:sz="0" w:space="0" w:color="auto"/>
        <w:right w:val="none" w:sz="0" w:space="0" w:color="auto"/>
      </w:divBdr>
      <w:divsChild>
        <w:div w:id="1560477899">
          <w:marLeft w:val="0"/>
          <w:marRight w:val="0"/>
          <w:marTop w:val="0"/>
          <w:marBottom w:val="0"/>
          <w:divBdr>
            <w:top w:val="none" w:sz="0" w:space="0" w:color="auto"/>
            <w:left w:val="none" w:sz="0" w:space="0" w:color="auto"/>
            <w:bottom w:val="none" w:sz="0" w:space="0" w:color="auto"/>
            <w:right w:val="none" w:sz="0" w:space="0" w:color="auto"/>
          </w:divBdr>
        </w:div>
      </w:divsChild>
    </w:div>
    <w:div w:id="20653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ltd_hisse_devri_karar.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3106</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2023-03-17T09:06:00Z</dcterms:created>
  <dcterms:modified xsi:type="dcterms:W3CDTF">2023-03-17T09:07:00Z</dcterms:modified>
</cp:coreProperties>
</file>